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1E" w:rsidRPr="00724E01" w:rsidRDefault="00CC331E" w:rsidP="00B92D72">
      <w:pPr>
        <w:spacing w:after="0"/>
        <w:ind w:left="0"/>
        <w:jc w:val="center"/>
        <w:rPr>
          <w:rFonts w:ascii="仿宋" w:eastAsia="仿宋" w:hAnsi="仿宋"/>
        </w:rPr>
      </w:pPr>
      <w:r w:rsidRPr="00724E01">
        <w:rPr>
          <w:rFonts w:ascii="仿宋" w:eastAsia="仿宋" w:hAnsi="仿宋"/>
        </w:rPr>
        <w:t>技术创新决策分析服务报告</w:t>
      </w:r>
    </w:p>
    <w:tbl>
      <w:tblPr>
        <w:tblStyle w:val="TableGrid"/>
        <w:tblW w:w="8640" w:type="dxa"/>
        <w:tblInd w:w="98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1588"/>
        <w:gridCol w:w="2192"/>
        <w:gridCol w:w="1494"/>
        <w:gridCol w:w="3366"/>
      </w:tblGrid>
      <w:tr w:rsidR="00CC331E" w:rsidRPr="00724E01" w:rsidTr="002A553E">
        <w:trPr>
          <w:trHeight w:val="627"/>
        </w:trPr>
        <w:tc>
          <w:tcPr>
            <w:tcW w:w="158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项目编号</w:t>
            </w:r>
          </w:p>
        </w:tc>
        <w:tc>
          <w:tcPr>
            <w:tcW w:w="2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服务类型</w:t>
            </w:r>
          </w:p>
        </w:tc>
        <w:tc>
          <w:tcPr>
            <w:tcW w:w="33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2A553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技术创新决策分析 </w:t>
            </w:r>
          </w:p>
        </w:tc>
      </w:tr>
      <w:tr w:rsidR="00CC331E" w:rsidRPr="00724E01" w:rsidTr="002A553E">
        <w:trPr>
          <w:trHeight w:val="634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10"/>
              </w:rPr>
            </w:pPr>
            <w:r w:rsidRPr="00724E01">
              <w:rPr>
                <w:rFonts w:ascii="仿宋" w:eastAsia="仿宋" w:hAnsi="仿宋"/>
                <w:spacing w:val="-10"/>
                <w:sz w:val="24"/>
              </w:rPr>
              <w:t>委托方联系人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1E" w:rsidRPr="00724E01" w:rsidRDefault="00CC331E" w:rsidP="00EA4ED3">
            <w:pPr>
              <w:spacing w:after="0"/>
              <w:ind w:left="34" w:hangingChars="14" w:hanging="34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TEL:     </w:t>
            </w:r>
            <w:r w:rsidR="00EA4ED3" w:rsidRPr="00724E01">
              <w:rPr>
                <w:rFonts w:ascii="仿宋" w:eastAsia="仿宋" w:hAnsi="仿宋"/>
                <w:sz w:val="24"/>
              </w:rPr>
              <w:br/>
            </w:r>
            <w:r w:rsidRPr="00724E01">
              <w:rPr>
                <w:rFonts w:ascii="仿宋" w:eastAsia="仿宋" w:hAnsi="仿宋"/>
                <w:sz w:val="24"/>
              </w:rPr>
              <w:t xml:space="preserve">E-mail: 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服务方联系人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A4ED3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  <w:sz w:val="24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TEL:    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E-mail:      </w:t>
            </w:r>
          </w:p>
        </w:tc>
      </w:tr>
      <w:tr w:rsidR="00CC331E" w:rsidRPr="00724E01" w:rsidTr="002A553E">
        <w:trPr>
          <w:trHeight w:val="643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  <w:spacing w:val="-10"/>
              </w:rPr>
            </w:pPr>
            <w:r w:rsidRPr="00724E01">
              <w:rPr>
                <w:rFonts w:ascii="仿宋" w:eastAsia="仿宋" w:hAnsi="仿宋"/>
                <w:spacing w:val="-10"/>
                <w:sz w:val="24"/>
              </w:rPr>
              <w:t>双方约定事项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>（服务合同中限定的其他标准或要件）</w:t>
            </w: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2A553E">
        <w:trPr>
          <w:trHeight w:val="575"/>
        </w:trPr>
        <w:tc>
          <w:tcPr>
            <w:tcW w:w="1588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分析依据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2A553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>申请文件</w:t>
            </w:r>
            <w:r w:rsidRPr="00724E01">
              <w:rPr>
                <w:rFonts w:ascii="仿宋" w:eastAsia="仿宋" w:hAnsi="仿宋"/>
                <w:sz w:val="24"/>
              </w:rPr>
              <w:tab/>
            </w:r>
            <w:r w:rsidRPr="00724E01">
              <w:rPr>
                <w:rFonts w:ascii="仿宋" w:eastAsia="仿宋" w:hAnsi="仿宋"/>
                <w:sz w:val="24"/>
              </w:rPr>
              <w:tab/>
            </w:r>
            <w:r w:rsidRPr="00724E01">
              <w:rPr>
                <w:rFonts w:ascii="仿宋" w:eastAsia="仿宋" w:hAnsi="仿宋"/>
                <w:sz w:val="24"/>
              </w:rPr>
              <w:tab/>
            </w: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>技术交底书</w:t>
            </w:r>
            <w:r w:rsidRPr="00724E01">
              <w:rPr>
                <w:rFonts w:ascii="仿宋" w:eastAsia="仿宋" w:hAnsi="仿宋"/>
                <w:sz w:val="24"/>
              </w:rPr>
              <w:tab/>
            </w:r>
            <w:r w:rsidRPr="00724E01">
              <w:rPr>
                <w:rFonts w:ascii="仿宋" w:eastAsia="仿宋" w:hAnsi="仿宋"/>
                <w:sz w:val="24"/>
              </w:rPr>
              <w:tab/>
            </w: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其他文件        </w:t>
            </w:r>
          </w:p>
        </w:tc>
      </w:tr>
      <w:tr w:rsidR="00CC331E" w:rsidRPr="00724E01" w:rsidTr="002A553E">
        <w:trPr>
          <w:trHeight w:val="634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原始文件</w:t>
            </w:r>
            <w:r w:rsidR="002A553E" w:rsidRPr="00724E01">
              <w:rPr>
                <w:rFonts w:ascii="仿宋" w:eastAsia="仿宋" w:hAnsi="仿宋"/>
                <w:sz w:val="24"/>
              </w:rPr>
              <w:br/>
            </w:r>
            <w:r w:rsidRPr="00724E01">
              <w:rPr>
                <w:rFonts w:ascii="仿宋" w:eastAsia="仿宋" w:hAnsi="仿宋"/>
                <w:sz w:val="24"/>
              </w:rPr>
              <w:t>提供方式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2A553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>纸质文档</w:t>
            </w:r>
            <w:r w:rsidRPr="00724E01">
              <w:rPr>
                <w:rFonts w:ascii="仿宋" w:eastAsia="仿宋" w:hAnsi="仿宋"/>
                <w:sz w:val="24"/>
              </w:rPr>
              <w:tab/>
            </w:r>
            <w:r w:rsidRPr="00724E01">
              <w:rPr>
                <w:rFonts w:ascii="仿宋" w:eastAsia="仿宋" w:hAnsi="仿宋"/>
                <w:sz w:val="24"/>
              </w:rPr>
              <w:tab/>
            </w:r>
            <w:r w:rsidRPr="00724E01">
              <w:rPr>
                <w:rFonts w:ascii="仿宋" w:eastAsia="仿宋" w:hAnsi="仿宋"/>
                <w:sz w:val="24"/>
              </w:rPr>
              <w:tab/>
            </w: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电子文档       </w:t>
            </w:r>
          </w:p>
        </w:tc>
      </w:tr>
      <w:tr w:rsidR="00CC331E" w:rsidRPr="00724E01" w:rsidTr="002A553E">
        <w:trPr>
          <w:trHeight w:val="635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检索时间</w:t>
            </w:r>
            <w:r w:rsidR="002A553E" w:rsidRPr="00724E01">
              <w:rPr>
                <w:rFonts w:ascii="仿宋" w:eastAsia="仿宋" w:hAnsi="仿宋"/>
                <w:sz w:val="24"/>
              </w:rPr>
              <w:br/>
            </w:r>
            <w:r w:rsidRPr="00724E01">
              <w:rPr>
                <w:rFonts w:ascii="仿宋" w:eastAsia="仿宋" w:hAnsi="仿宋"/>
                <w:sz w:val="24"/>
              </w:rPr>
              <w:t>节点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2A553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检索工作当日  </w:t>
            </w:r>
            <w:r w:rsidRPr="00724E01">
              <w:rPr>
                <w:rFonts w:ascii="仿宋" w:eastAsia="仿宋" w:hAnsi="仿宋"/>
                <w:sz w:val="24"/>
              </w:rPr>
              <w:tab/>
            </w: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双方约定时间点______________ </w:t>
            </w:r>
          </w:p>
        </w:tc>
      </w:tr>
      <w:tr w:rsidR="00CC331E" w:rsidRPr="00724E01" w:rsidTr="002A553E">
        <w:trPr>
          <w:trHeight w:val="634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检索范围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>（待服务项目技术资料确定，包括技术范围、技术分类、服务方技术人员确定等；由服务方自行总结或由双方商议确定）</w:t>
            </w: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2A553E">
        <w:trPr>
          <w:trHeight w:hRule="exact" w:val="567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 w:line="240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检索要素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 w:line="240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2A553E">
        <w:trPr>
          <w:trHeight w:hRule="exact" w:val="567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 w:line="240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主题分类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 w:line="240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2A553E">
        <w:trPr>
          <w:trHeight w:hRule="exact" w:val="567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 w:line="240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检索用分类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 w:line="240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2A553E">
        <w:trPr>
          <w:trHeight w:hRule="exact" w:val="794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 w:line="240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检索用关键</w:t>
            </w:r>
          </w:p>
          <w:p w:rsidR="00CC331E" w:rsidRPr="00724E01" w:rsidRDefault="00CC331E" w:rsidP="002A553E">
            <w:pPr>
              <w:spacing w:after="0" w:line="240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词（中、外）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 w:line="240" w:lineRule="auto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2A553E">
        <w:trPr>
          <w:trHeight w:val="5847"/>
        </w:trPr>
        <w:tc>
          <w:tcPr>
            <w:tcW w:w="158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检索资源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  <w:b/>
              </w:rPr>
            </w:pPr>
            <w:r w:rsidRPr="00724E01">
              <w:rPr>
                <w:rFonts w:ascii="仿宋" w:eastAsia="仿宋" w:hAnsi="仿宋"/>
                <w:b/>
                <w:sz w:val="24"/>
              </w:rPr>
              <w:t xml:space="preserve">检索用专利文献 </w:t>
            </w:r>
          </w:p>
          <w:p w:rsidR="00CC331E" w:rsidRPr="00724E01" w:rsidRDefault="002A553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专利文摘数据库：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2A553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专利全文数据库：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2A553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所属技术领域常用专利数据库：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2A553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其他数据库：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  <w:b/>
              </w:rPr>
            </w:pPr>
            <w:r w:rsidRPr="00724E01">
              <w:rPr>
                <w:rFonts w:ascii="仿宋" w:eastAsia="仿宋" w:hAnsi="仿宋"/>
                <w:b/>
                <w:sz w:val="24"/>
              </w:rPr>
              <w:t xml:space="preserve">检索用非专利文献 </w:t>
            </w:r>
          </w:p>
          <w:p w:rsidR="00CC331E" w:rsidRPr="00724E01" w:rsidRDefault="002A553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 文摘类数据库：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2A553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 全文类数据库：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CC331E" w:rsidRPr="00724E01" w:rsidRDefault="00CC331E" w:rsidP="00CC331E">
      <w:pPr>
        <w:spacing w:after="0"/>
        <w:ind w:left="0" w:firstLine="0"/>
        <w:rPr>
          <w:rFonts w:ascii="仿宋" w:eastAsia="仿宋" w:hAnsi="仿宋"/>
        </w:rPr>
      </w:pPr>
    </w:p>
    <w:tbl>
      <w:tblPr>
        <w:tblStyle w:val="TableGrid"/>
        <w:tblW w:w="8640" w:type="dxa"/>
        <w:tblInd w:w="98" w:type="dxa"/>
        <w:tblCellMar>
          <w:top w:w="13" w:type="dxa"/>
          <w:left w:w="23" w:type="dxa"/>
          <w:right w:w="106" w:type="dxa"/>
        </w:tblCellMar>
        <w:tblLook w:val="04A0" w:firstRow="1" w:lastRow="0" w:firstColumn="1" w:lastColumn="0" w:noHBand="0" w:noVBand="1"/>
      </w:tblPr>
      <w:tblGrid>
        <w:gridCol w:w="1439"/>
        <w:gridCol w:w="2344"/>
        <w:gridCol w:w="1439"/>
        <w:gridCol w:w="3418"/>
      </w:tblGrid>
      <w:tr w:rsidR="00CC331E" w:rsidRPr="00724E01" w:rsidTr="002A553E">
        <w:trPr>
          <w:trHeight w:val="973"/>
        </w:trPr>
        <w:tc>
          <w:tcPr>
            <w:tcW w:w="14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160"/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CC331E" w:rsidRPr="00724E01" w:rsidRDefault="002A553E" w:rsidP="002A553E">
            <w:pPr>
              <w:spacing w:after="0"/>
              <w:ind w:left="0" w:firstLine="0"/>
              <w:jc w:val="both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>所属技术领域常用数据库：</w:t>
            </w:r>
          </w:p>
          <w:p w:rsidR="00CC331E" w:rsidRPr="00724E01" w:rsidRDefault="002A553E" w:rsidP="002A553E">
            <w:pPr>
              <w:spacing w:after="0"/>
              <w:ind w:left="0" w:firstLine="0"/>
              <w:jc w:val="both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Pr="00724E01">
              <w:rPr>
                <w:rFonts w:ascii="仿宋" w:eastAsia="仿宋" w:hAnsi="仿宋"/>
                <w:sz w:val="24"/>
              </w:rPr>
              <w:t>其他数据库：</w:t>
            </w:r>
          </w:p>
        </w:tc>
      </w:tr>
      <w:tr w:rsidR="00CC331E" w:rsidRPr="00724E01" w:rsidTr="002A553E">
        <w:trPr>
          <w:trHeight w:val="961"/>
        </w:trPr>
        <w:tc>
          <w:tcPr>
            <w:tcW w:w="14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检索策略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  <w:tr w:rsidR="00CC331E" w:rsidRPr="00724E01" w:rsidTr="002A553E">
        <w:trPr>
          <w:trHeight w:val="947"/>
        </w:trPr>
        <w:tc>
          <w:tcPr>
            <w:tcW w:w="14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rightChars="-37" w:right="-124" w:firstLine="0"/>
              <w:jc w:val="center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>检索运算式及其过程信息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2A553E">
        <w:trPr>
          <w:trHeight w:val="6193"/>
        </w:trPr>
        <w:tc>
          <w:tcPr>
            <w:tcW w:w="14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技术创新决策报告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  <w:b/>
              </w:rPr>
            </w:pPr>
            <w:r w:rsidRPr="00724E01">
              <w:rPr>
                <w:rFonts w:ascii="仿宋" w:eastAsia="仿宋" w:hAnsi="仿宋"/>
                <w:b/>
                <w:sz w:val="24"/>
              </w:rPr>
              <w:t xml:space="preserve">综述： </w:t>
            </w:r>
          </w:p>
          <w:p w:rsidR="00CC331E" w:rsidRPr="00724E01" w:rsidRDefault="00CC331E" w:rsidP="00CC331E">
            <w:pPr>
              <w:spacing w:after="0" w:line="240" w:lineRule="auto"/>
              <w:ind w:left="0" w:firstLine="0"/>
              <w:jc w:val="both"/>
              <w:rPr>
                <w:rFonts w:ascii="仿宋" w:eastAsia="仿宋" w:hAnsi="仿宋"/>
                <w:spacing w:val="-8"/>
              </w:rPr>
            </w:pPr>
            <w:r w:rsidRPr="00724E01">
              <w:rPr>
                <w:rFonts w:ascii="仿宋" w:eastAsia="仿宋" w:hAnsi="仿宋"/>
                <w:spacing w:val="-8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2A553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02200D" w:rsidRPr="00724E01" w:rsidRDefault="00CC331E" w:rsidP="00CC331E">
            <w:pPr>
              <w:spacing w:after="0" w:line="231" w:lineRule="auto"/>
              <w:ind w:left="0" w:firstLine="0"/>
              <w:rPr>
                <w:rFonts w:ascii="仿宋" w:eastAsia="仿宋" w:hAnsi="仿宋"/>
                <w:b/>
                <w:sz w:val="24"/>
              </w:rPr>
            </w:pPr>
            <w:r w:rsidRPr="00724E01">
              <w:rPr>
                <w:rFonts w:ascii="仿宋" w:eastAsia="仿宋" w:hAnsi="仿宋"/>
                <w:b/>
                <w:sz w:val="24"/>
              </w:rPr>
              <w:t>研究内容与方法：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2A553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b/>
                <w:sz w:val="24"/>
              </w:rPr>
              <w:t>结论和建议</w:t>
            </w:r>
            <w:r w:rsidRPr="00724E01">
              <w:rPr>
                <w:rFonts w:ascii="仿宋" w:eastAsia="仿宋" w:hAnsi="仿宋"/>
                <w:sz w:val="24"/>
              </w:rPr>
              <w:t xml:space="preserve">：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</w:p>
        </w:tc>
      </w:tr>
      <w:tr w:rsidR="00CC331E" w:rsidRPr="00724E01" w:rsidTr="002A553E">
        <w:trPr>
          <w:trHeight w:val="634"/>
        </w:trPr>
        <w:tc>
          <w:tcPr>
            <w:tcW w:w="14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相关文件</w:t>
            </w:r>
            <w:r w:rsidR="002A553E" w:rsidRPr="00724E01">
              <w:rPr>
                <w:rFonts w:ascii="仿宋" w:eastAsia="仿宋" w:hAnsi="仿宋"/>
                <w:sz w:val="24"/>
              </w:rPr>
              <w:br/>
            </w:r>
            <w:r w:rsidRPr="00724E01">
              <w:rPr>
                <w:rFonts w:ascii="仿宋" w:eastAsia="仿宋" w:hAnsi="仿宋"/>
                <w:sz w:val="24"/>
              </w:rPr>
              <w:t>文本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C331E" w:rsidRPr="00724E01" w:rsidRDefault="002A553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纸质文档(附后)  </w:t>
            </w:r>
            <w:r w:rsidR="004115AF"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电子文档   </w:t>
            </w:r>
            <w:r w:rsidRPr="00724E01">
              <w:rPr>
                <w:rFonts w:ascii="仿宋" w:eastAsia="仿宋" w:hAnsi="仿宋" w:hint="eastAsia"/>
                <w:sz w:val="24"/>
              </w:rPr>
              <w:t>□</w:t>
            </w:r>
            <w:r w:rsidR="00CC331E" w:rsidRPr="00724E01">
              <w:rPr>
                <w:rFonts w:ascii="仿宋" w:eastAsia="仿宋" w:hAnsi="仿宋"/>
                <w:sz w:val="24"/>
              </w:rPr>
              <w:t xml:space="preserve">纸质和电子文档(附后) </w:t>
            </w:r>
          </w:p>
        </w:tc>
      </w:tr>
      <w:tr w:rsidR="00CC331E" w:rsidRPr="00724E01" w:rsidTr="002A553E">
        <w:trPr>
          <w:trHeight w:val="323"/>
        </w:trPr>
        <w:tc>
          <w:tcPr>
            <w:tcW w:w="143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服务人员</w:t>
            </w:r>
          </w:p>
        </w:tc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初审人员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2A553E">
        <w:trPr>
          <w:trHeight w:val="322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160"/>
              <w:ind w:left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31E" w:rsidRPr="00724E01" w:rsidRDefault="00CC331E" w:rsidP="00CC331E">
            <w:pPr>
              <w:spacing w:after="160"/>
              <w:ind w:left="0" w:firstLine="0"/>
              <w:rPr>
                <w:rFonts w:ascii="仿宋" w:eastAsia="仿宋" w:hAnsi="仿宋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终审人员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CC331E" w:rsidRPr="00724E01" w:rsidTr="002A553E">
        <w:trPr>
          <w:trHeight w:val="914"/>
        </w:trPr>
        <w:tc>
          <w:tcPr>
            <w:tcW w:w="14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备注1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1"/>
              </w:rPr>
              <w:t xml:space="preserve">技术创新决策咨询服务：是指通过对专利文献中的技术信息的检索/分析，为产业规划、科研立项、技术改造、创新成果的保护等提供专利技术情报和决策支持。 </w:t>
            </w:r>
          </w:p>
        </w:tc>
      </w:tr>
      <w:tr w:rsidR="00CC331E" w:rsidRPr="00724E01" w:rsidTr="000C422E">
        <w:trPr>
          <w:trHeight w:val="1230"/>
        </w:trPr>
        <w:tc>
          <w:tcPr>
            <w:tcW w:w="14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C331E" w:rsidRPr="00724E01" w:rsidRDefault="00CC331E" w:rsidP="002A553E">
            <w:pPr>
              <w:spacing w:after="0"/>
              <w:ind w:left="0" w:firstLine="0"/>
              <w:jc w:val="center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>备注2</w:t>
            </w:r>
          </w:p>
        </w:tc>
        <w:tc>
          <w:tcPr>
            <w:tcW w:w="72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color w:val="9A9A9A"/>
                <w:sz w:val="24"/>
              </w:rPr>
              <w:t>（服务方反馈信息）</w:t>
            </w: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CC331E" w:rsidRPr="00724E01" w:rsidRDefault="00CC331E" w:rsidP="00CC331E">
            <w:pPr>
              <w:spacing w:after="0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  <w:p w:rsidR="002A553E" w:rsidRPr="00724E01" w:rsidRDefault="00CC331E" w:rsidP="00FE416A">
            <w:pPr>
              <w:spacing w:after="0" w:line="140" w:lineRule="atLeast"/>
              <w:ind w:left="0" w:firstLine="0"/>
              <w:rPr>
                <w:rFonts w:ascii="仿宋" w:eastAsia="仿宋" w:hAnsi="仿宋"/>
              </w:rPr>
            </w:pPr>
            <w:r w:rsidRPr="00724E01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FE02F6" w:rsidRPr="00724E01" w:rsidRDefault="00FE02F6" w:rsidP="000C422E">
      <w:pPr>
        <w:spacing w:after="0" w:line="120" w:lineRule="atLeast"/>
        <w:ind w:left="0" w:firstLine="0"/>
        <w:rPr>
          <w:rFonts w:ascii="仿宋" w:eastAsia="仿宋" w:hAnsi="仿宋" w:hint="eastAsia"/>
        </w:rPr>
      </w:pPr>
      <w:bookmarkStart w:id="0" w:name="_GoBack"/>
      <w:bookmarkEnd w:id="0"/>
    </w:p>
    <w:sectPr w:rsidR="00FE02F6" w:rsidRPr="00724E01" w:rsidSect="00CC331E">
      <w:footerReference w:type="even" r:id="rId8"/>
      <w:footerReference w:type="default" r:id="rId9"/>
      <w:footerReference w:type="first" r:id="rId10"/>
      <w:pgSz w:w="11904" w:h="16840"/>
      <w:pgMar w:top="1452" w:right="1361" w:bottom="1469" w:left="1588" w:header="720" w:footer="998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TEMPLATEPROJECT.NEWMACROS.PASTESPECIALTEXT"/>
    </wne:keymap>
    <wne:keymap wne:kcmPrimary="0072">
      <wne:macro wne:macroName="TEMPLATEPROJECT.NEWMACROS.EICHINESENAME"/>
    </wne:keymap>
    <wne:keymap wne:kcmPrimary="0073">
      <wne:macro wne:macroName="TEMPLATEPROJECT.NEWMACROS.EIFORMAT"/>
    </wne:keymap>
    <wne:keymap wne:kcmPrimary="0074">
      <wne:macro wne:macroName="TEMPLATEPROJECT.NEWMACROS.SCIFORMAT"/>
    </wne:keymap>
    <wne:keymap wne:kcmPrimary="0075">
      <wne:macro wne:macroName="TEMPLATEPROJECT.NEWMACROS.SCICITEDTEMPLATE"/>
    </wne:keymap>
    <wne:keymap wne:kcmPrimary="0076">
      <wne:macro wne:macroName="TEMPLATEPROJECT.NEWMACROS.SCICITEDFORMAT"/>
    </wne:keymap>
    <wne:keymap wne:kcmPrimary="0077">
      <wne:macro wne:macroName="TEMPLATEPROJECT.NEWMACROS.SCISELFCITATION"/>
    </wne:keymap>
    <wne:keymap wne:kcmPrimary="0078">
      <wne:macro wne:macroName="TEMPLATEPROJECT.NEWMACROS.SCICITEDNO"/>
    </wne:keymap>
    <wne:keymap wne:kcmPrimary="0079">
      <wne:macro wne:macroName="TEMPLATEPROJECT.NEWMACROS.DELETESCITED"/>
    </wne:keymap>
    <wne:keymap wne:kcmPrimary="007A">
      <wne:macro wne:macroName="TEMPLATEPROJECT.NEWMACROS.DELETEPARAGRAPH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CE" w:rsidRDefault="002502CE">
      <w:pPr>
        <w:spacing w:after="0" w:line="240" w:lineRule="auto"/>
      </w:pPr>
      <w:r>
        <w:separator/>
      </w:r>
    </w:p>
  </w:endnote>
  <w:endnote w:type="continuationSeparator" w:id="0">
    <w:p w:rsidR="002502CE" w:rsidRDefault="0025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EB" w:rsidRDefault="004D19EB">
    <w:pPr>
      <w:spacing w:after="0"/>
      <w:ind w:left="0" w:right="37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EB" w:rsidRDefault="004D19EB">
    <w:pPr>
      <w:spacing w:after="0"/>
      <w:ind w:left="0" w:right="37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 w:rsidR="000C422E">
      <w:rPr>
        <w:rFonts w:ascii="Times New Roman" w:eastAsia="Times New Roman" w:hAnsi="Times New Roman" w:cs="Times New Roman"/>
        <w:noProof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EB" w:rsidRDefault="004D19EB">
    <w:pPr>
      <w:spacing w:after="0"/>
      <w:ind w:left="0" w:right="37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CE" w:rsidRDefault="002502CE">
      <w:pPr>
        <w:spacing w:after="0" w:line="240" w:lineRule="auto"/>
      </w:pPr>
      <w:r>
        <w:separator/>
      </w:r>
    </w:p>
  </w:footnote>
  <w:footnote w:type="continuationSeparator" w:id="0">
    <w:p w:rsidR="002502CE" w:rsidRDefault="0025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A0"/>
    <w:multiLevelType w:val="hybridMultilevel"/>
    <w:tmpl w:val="2666814E"/>
    <w:lvl w:ilvl="0" w:tplc="F858E02E">
      <w:start w:val="1"/>
      <w:numFmt w:val="decimal"/>
      <w:lvlText w:val="（%1）"/>
      <w:lvlJc w:val="left"/>
      <w:pPr>
        <w:ind w:left="7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07052">
      <w:start w:val="1"/>
      <w:numFmt w:val="lowerLetter"/>
      <w:lvlText w:val="%2"/>
      <w:lvlJc w:val="left"/>
      <w:pPr>
        <w:ind w:left="11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E0AE4">
      <w:start w:val="1"/>
      <w:numFmt w:val="lowerRoman"/>
      <w:lvlText w:val="%3"/>
      <w:lvlJc w:val="left"/>
      <w:pPr>
        <w:ind w:left="19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AA20C">
      <w:start w:val="1"/>
      <w:numFmt w:val="decimal"/>
      <w:lvlText w:val="%4"/>
      <w:lvlJc w:val="left"/>
      <w:pPr>
        <w:ind w:left="262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894">
      <w:start w:val="1"/>
      <w:numFmt w:val="lowerLetter"/>
      <w:lvlText w:val="%5"/>
      <w:lvlJc w:val="left"/>
      <w:pPr>
        <w:ind w:left="334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A2872">
      <w:start w:val="1"/>
      <w:numFmt w:val="lowerRoman"/>
      <w:lvlText w:val="%6"/>
      <w:lvlJc w:val="left"/>
      <w:pPr>
        <w:ind w:left="406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A782A">
      <w:start w:val="1"/>
      <w:numFmt w:val="decimal"/>
      <w:lvlText w:val="%7"/>
      <w:lvlJc w:val="left"/>
      <w:pPr>
        <w:ind w:left="47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A9076">
      <w:start w:val="1"/>
      <w:numFmt w:val="lowerLetter"/>
      <w:lvlText w:val="%8"/>
      <w:lvlJc w:val="left"/>
      <w:pPr>
        <w:ind w:left="55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7832">
      <w:start w:val="1"/>
      <w:numFmt w:val="lowerRoman"/>
      <w:lvlText w:val="%9"/>
      <w:lvlJc w:val="left"/>
      <w:pPr>
        <w:ind w:left="622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044B2"/>
    <w:multiLevelType w:val="hybridMultilevel"/>
    <w:tmpl w:val="355EB5C2"/>
    <w:lvl w:ilvl="0" w:tplc="4D86810C">
      <w:start w:val="1"/>
      <w:numFmt w:val="bullet"/>
      <w:lvlText w:val="¾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81BF8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83A3E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46E16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8BF56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2FB8A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65AC2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A0A64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0498E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44F09"/>
    <w:multiLevelType w:val="hybridMultilevel"/>
    <w:tmpl w:val="20A6FF5C"/>
    <w:lvl w:ilvl="0" w:tplc="0B64670E">
      <w:start w:val="10"/>
      <w:numFmt w:val="bullet"/>
      <w:lvlText w:val="□"/>
      <w:lvlJc w:val="left"/>
      <w:pPr>
        <w:ind w:left="360" w:hanging="360"/>
      </w:pPr>
      <w:rPr>
        <w:rFonts w:ascii="FangSong" w:eastAsia="FangSong" w:hAnsi="FangSong" w:cs="FangSong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C47B5A"/>
    <w:multiLevelType w:val="hybridMultilevel"/>
    <w:tmpl w:val="13669B68"/>
    <w:lvl w:ilvl="0" w:tplc="8C7AB470">
      <w:start w:val="1"/>
      <w:numFmt w:val="decimal"/>
      <w:lvlText w:val="（%1）"/>
      <w:lvlJc w:val="left"/>
      <w:pPr>
        <w:ind w:left="445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2FF0C">
      <w:start w:val="1"/>
      <w:numFmt w:val="lowerLetter"/>
      <w:lvlText w:val="%2"/>
      <w:lvlJc w:val="left"/>
      <w:pPr>
        <w:ind w:left="154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6CB2E">
      <w:start w:val="1"/>
      <w:numFmt w:val="lowerRoman"/>
      <w:lvlText w:val="%3"/>
      <w:lvlJc w:val="left"/>
      <w:pPr>
        <w:ind w:left="226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45C10">
      <w:start w:val="1"/>
      <w:numFmt w:val="decimal"/>
      <w:lvlText w:val="%4"/>
      <w:lvlJc w:val="left"/>
      <w:pPr>
        <w:ind w:left="29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C4268">
      <w:start w:val="1"/>
      <w:numFmt w:val="lowerLetter"/>
      <w:lvlText w:val="%5"/>
      <w:lvlJc w:val="left"/>
      <w:pPr>
        <w:ind w:left="370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0F79E">
      <w:start w:val="1"/>
      <w:numFmt w:val="lowerRoman"/>
      <w:lvlText w:val="%6"/>
      <w:lvlJc w:val="left"/>
      <w:pPr>
        <w:ind w:left="442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A7544">
      <w:start w:val="1"/>
      <w:numFmt w:val="decimal"/>
      <w:lvlText w:val="%7"/>
      <w:lvlJc w:val="left"/>
      <w:pPr>
        <w:ind w:left="514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26A86">
      <w:start w:val="1"/>
      <w:numFmt w:val="lowerLetter"/>
      <w:lvlText w:val="%8"/>
      <w:lvlJc w:val="left"/>
      <w:pPr>
        <w:ind w:left="586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840CE">
      <w:start w:val="1"/>
      <w:numFmt w:val="lowerRoman"/>
      <w:lvlText w:val="%9"/>
      <w:lvlJc w:val="left"/>
      <w:pPr>
        <w:ind w:left="658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1E"/>
    <w:rsid w:val="00002659"/>
    <w:rsid w:val="00004B59"/>
    <w:rsid w:val="0002200D"/>
    <w:rsid w:val="000332FB"/>
    <w:rsid w:val="00053D24"/>
    <w:rsid w:val="00094A77"/>
    <w:rsid w:val="000A3522"/>
    <w:rsid w:val="000B28B7"/>
    <w:rsid w:val="000C1E88"/>
    <w:rsid w:val="000C2151"/>
    <w:rsid w:val="000C422E"/>
    <w:rsid w:val="000D7487"/>
    <w:rsid w:val="000F3E77"/>
    <w:rsid w:val="00116064"/>
    <w:rsid w:val="00120CDA"/>
    <w:rsid w:val="00122879"/>
    <w:rsid w:val="0012461B"/>
    <w:rsid w:val="00130613"/>
    <w:rsid w:val="001456C8"/>
    <w:rsid w:val="001667EF"/>
    <w:rsid w:val="001F2F3C"/>
    <w:rsid w:val="00204092"/>
    <w:rsid w:val="00225F9B"/>
    <w:rsid w:val="00235410"/>
    <w:rsid w:val="00236A87"/>
    <w:rsid w:val="002502CE"/>
    <w:rsid w:val="00280524"/>
    <w:rsid w:val="002909BB"/>
    <w:rsid w:val="002A29D3"/>
    <w:rsid w:val="002A553E"/>
    <w:rsid w:val="002B1DD0"/>
    <w:rsid w:val="002B7D1A"/>
    <w:rsid w:val="002C07CA"/>
    <w:rsid w:val="002C35A2"/>
    <w:rsid w:val="002D6996"/>
    <w:rsid w:val="00311E8E"/>
    <w:rsid w:val="00313062"/>
    <w:rsid w:val="0035290F"/>
    <w:rsid w:val="00370623"/>
    <w:rsid w:val="0037747B"/>
    <w:rsid w:val="003F7303"/>
    <w:rsid w:val="004115AF"/>
    <w:rsid w:val="00412A21"/>
    <w:rsid w:val="00446DA6"/>
    <w:rsid w:val="00456639"/>
    <w:rsid w:val="0047469F"/>
    <w:rsid w:val="004C2A3E"/>
    <w:rsid w:val="004C4231"/>
    <w:rsid w:val="004D19EB"/>
    <w:rsid w:val="004D335B"/>
    <w:rsid w:val="004D3A88"/>
    <w:rsid w:val="004E655E"/>
    <w:rsid w:val="00500E93"/>
    <w:rsid w:val="00507C83"/>
    <w:rsid w:val="00523581"/>
    <w:rsid w:val="00531CB5"/>
    <w:rsid w:val="00562FAF"/>
    <w:rsid w:val="00570E13"/>
    <w:rsid w:val="00577AB2"/>
    <w:rsid w:val="0058726E"/>
    <w:rsid w:val="00595117"/>
    <w:rsid w:val="005A14FF"/>
    <w:rsid w:val="005B6F35"/>
    <w:rsid w:val="005D28CA"/>
    <w:rsid w:val="005D5E04"/>
    <w:rsid w:val="005F7319"/>
    <w:rsid w:val="00610D01"/>
    <w:rsid w:val="006355D0"/>
    <w:rsid w:val="0065138C"/>
    <w:rsid w:val="00671BC6"/>
    <w:rsid w:val="006771D1"/>
    <w:rsid w:val="0068728B"/>
    <w:rsid w:val="00691A25"/>
    <w:rsid w:val="006D100E"/>
    <w:rsid w:val="006F7C86"/>
    <w:rsid w:val="00702ED1"/>
    <w:rsid w:val="007062BD"/>
    <w:rsid w:val="00707DB1"/>
    <w:rsid w:val="00711F16"/>
    <w:rsid w:val="00724E01"/>
    <w:rsid w:val="0073013B"/>
    <w:rsid w:val="00754984"/>
    <w:rsid w:val="00776894"/>
    <w:rsid w:val="007C7483"/>
    <w:rsid w:val="008903BF"/>
    <w:rsid w:val="008C4945"/>
    <w:rsid w:val="008D38F5"/>
    <w:rsid w:val="008F616E"/>
    <w:rsid w:val="009049E6"/>
    <w:rsid w:val="00904FED"/>
    <w:rsid w:val="00931E87"/>
    <w:rsid w:val="00940278"/>
    <w:rsid w:val="00966CEA"/>
    <w:rsid w:val="00986B61"/>
    <w:rsid w:val="00997311"/>
    <w:rsid w:val="009B22D0"/>
    <w:rsid w:val="009E11AE"/>
    <w:rsid w:val="009F3630"/>
    <w:rsid w:val="00A15716"/>
    <w:rsid w:val="00A20751"/>
    <w:rsid w:val="00A60915"/>
    <w:rsid w:val="00A62057"/>
    <w:rsid w:val="00A74BE8"/>
    <w:rsid w:val="00A8725A"/>
    <w:rsid w:val="00A9032D"/>
    <w:rsid w:val="00AD4C79"/>
    <w:rsid w:val="00AD4DF6"/>
    <w:rsid w:val="00AF0DFB"/>
    <w:rsid w:val="00AF472B"/>
    <w:rsid w:val="00B02D46"/>
    <w:rsid w:val="00B0660F"/>
    <w:rsid w:val="00B11C81"/>
    <w:rsid w:val="00B41705"/>
    <w:rsid w:val="00B51630"/>
    <w:rsid w:val="00B55163"/>
    <w:rsid w:val="00B74593"/>
    <w:rsid w:val="00B8222F"/>
    <w:rsid w:val="00B92D72"/>
    <w:rsid w:val="00B9347B"/>
    <w:rsid w:val="00BA1EE3"/>
    <w:rsid w:val="00BB06EF"/>
    <w:rsid w:val="00BF7EA4"/>
    <w:rsid w:val="00C00DB0"/>
    <w:rsid w:val="00C6045C"/>
    <w:rsid w:val="00C64FBE"/>
    <w:rsid w:val="00C80C3D"/>
    <w:rsid w:val="00C87DDF"/>
    <w:rsid w:val="00C93E3F"/>
    <w:rsid w:val="00CB6E42"/>
    <w:rsid w:val="00CC331E"/>
    <w:rsid w:val="00CD1628"/>
    <w:rsid w:val="00CD3914"/>
    <w:rsid w:val="00CE2A90"/>
    <w:rsid w:val="00CF06CA"/>
    <w:rsid w:val="00D02EBF"/>
    <w:rsid w:val="00D066E6"/>
    <w:rsid w:val="00D204F9"/>
    <w:rsid w:val="00D4069E"/>
    <w:rsid w:val="00D4088A"/>
    <w:rsid w:val="00D94131"/>
    <w:rsid w:val="00D963D5"/>
    <w:rsid w:val="00DB7841"/>
    <w:rsid w:val="00E05B52"/>
    <w:rsid w:val="00E10FF8"/>
    <w:rsid w:val="00E61987"/>
    <w:rsid w:val="00E66D4D"/>
    <w:rsid w:val="00E67545"/>
    <w:rsid w:val="00E95792"/>
    <w:rsid w:val="00EA4ED3"/>
    <w:rsid w:val="00EC628B"/>
    <w:rsid w:val="00EF1598"/>
    <w:rsid w:val="00F1231E"/>
    <w:rsid w:val="00F247C9"/>
    <w:rsid w:val="00F35751"/>
    <w:rsid w:val="00F46FFA"/>
    <w:rsid w:val="00F47E4E"/>
    <w:rsid w:val="00F51048"/>
    <w:rsid w:val="00F64E7F"/>
    <w:rsid w:val="00F67359"/>
    <w:rsid w:val="00F72ADC"/>
    <w:rsid w:val="00F76FC7"/>
    <w:rsid w:val="00F77261"/>
    <w:rsid w:val="00F93ADC"/>
    <w:rsid w:val="00FA76B1"/>
    <w:rsid w:val="00FD51A1"/>
    <w:rsid w:val="00FE02F6"/>
    <w:rsid w:val="00FE416A"/>
    <w:rsid w:val="00FE4954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43BD7"/>
  <w15:docId w15:val="{24C23996-E1E8-4B4B-B4C9-12156FA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1E"/>
    <w:pPr>
      <w:spacing w:after="171" w:line="259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B55163"/>
    <w:pPr>
      <w:keepNext/>
      <w:keepLines/>
      <w:spacing w:before="120" w:after="120" w:line="360" w:lineRule="auto"/>
      <w:outlineLvl w:val="0"/>
    </w:pPr>
    <w:rPr>
      <w:b/>
      <w:bCs/>
      <w:kern w:val="44"/>
      <w:szCs w:val="44"/>
    </w:rPr>
  </w:style>
  <w:style w:type="paragraph" w:styleId="2">
    <w:name w:val="heading 2"/>
    <w:next w:val="a"/>
    <w:link w:val="20"/>
    <w:uiPriority w:val="9"/>
    <w:unhideWhenUsed/>
    <w:qFormat/>
    <w:rsid w:val="00CC331E"/>
    <w:pPr>
      <w:keepNext/>
      <w:keepLines/>
      <w:spacing w:after="171" w:line="259" w:lineRule="auto"/>
      <w:ind w:left="10" w:hanging="10"/>
      <w:outlineLvl w:val="1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55163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C331E"/>
    <w:rPr>
      <w:rFonts w:ascii="FangSong" w:eastAsia="FangSong" w:hAnsi="FangSong" w:cs="FangSong"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rsid w:val="00CC331E"/>
    <w:pPr>
      <w:spacing w:line="286" w:lineRule="auto"/>
      <w:ind w:left="98"/>
    </w:pPr>
    <w:rPr>
      <w:rFonts w:ascii="宋体" w:eastAsia="宋体" w:hAnsi="宋体" w:cs="宋体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C331E"/>
    <w:rPr>
      <w:rFonts w:ascii="宋体" w:eastAsia="宋体" w:hAnsi="宋体" w:cs="宋体"/>
      <w:color w:val="000000"/>
      <w:sz w:val="18"/>
    </w:rPr>
  </w:style>
  <w:style w:type="paragraph" w:styleId="11">
    <w:name w:val="toc 1"/>
    <w:hidden/>
    <w:rsid w:val="00CC331E"/>
    <w:pPr>
      <w:spacing w:line="360" w:lineRule="auto"/>
      <w:ind w:left="25" w:right="21" w:hanging="10"/>
    </w:pPr>
    <w:rPr>
      <w:rFonts w:ascii="Times New Roman" w:eastAsia="Times New Roman" w:hAnsi="Times New Roman" w:cs="Times New Roman"/>
      <w:color w:val="000000"/>
      <w:sz w:val="30"/>
    </w:rPr>
  </w:style>
  <w:style w:type="paragraph" w:styleId="21">
    <w:name w:val="toc 2"/>
    <w:hidden/>
    <w:rsid w:val="00CC331E"/>
    <w:pPr>
      <w:spacing w:after="219" w:line="259" w:lineRule="auto"/>
      <w:ind w:left="445" w:right="21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otnotemark">
    <w:name w:val="footnote mark"/>
    <w:hidden/>
    <w:rsid w:val="00CC331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C33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C3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31E"/>
    <w:rPr>
      <w:rFonts w:ascii="FangSong" w:eastAsia="FangSong" w:hAnsi="FangSong" w:cs="FangSong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963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0214;\&#25105;&#30340;&#26700;&#38754;\&#20020;&#26102;&#25991;&#26723;(2015)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临时文档(2015)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DUTL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高健</dc:creator>
  <cp:keywords/>
  <dc:description/>
  <cp:lastModifiedBy>陈陶</cp:lastModifiedBy>
  <cp:revision>2</cp:revision>
  <dcterms:created xsi:type="dcterms:W3CDTF">2018-11-23T08:16:00Z</dcterms:created>
  <dcterms:modified xsi:type="dcterms:W3CDTF">2018-11-23T08:16:00Z</dcterms:modified>
</cp:coreProperties>
</file>